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6A" w:rsidRPr="00106C6A" w:rsidRDefault="00106C6A" w:rsidP="00663C0E">
      <w:pPr>
        <w:spacing w:after="120"/>
        <w:jc w:val="both"/>
        <w:rPr>
          <w:rFonts w:cs="Calibri"/>
          <w:szCs w:val="22"/>
        </w:rPr>
      </w:pPr>
      <w:bookmarkStart w:id="0" w:name="_GoBack"/>
      <w:r w:rsidRPr="00106C6A">
        <w:rPr>
          <w:rFonts w:cs="Calibri"/>
          <w:b/>
          <w:szCs w:val="22"/>
        </w:rPr>
        <w:t>Ukazovatele vnútorného systému TUKE</w:t>
      </w:r>
    </w:p>
    <w:bookmarkEnd w:id="0"/>
    <w:p w:rsidR="00106C6A" w:rsidRPr="00106C6A" w:rsidRDefault="00106C6A" w:rsidP="00663C0E">
      <w:pPr>
        <w:spacing w:after="120"/>
        <w:jc w:val="both"/>
        <w:rPr>
          <w:rFonts w:cs="Calibri"/>
          <w:szCs w:val="22"/>
        </w:rPr>
      </w:pPr>
    </w:p>
    <w:p w:rsidR="00663C0E" w:rsidRPr="00106C6A" w:rsidRDefault="00663C0E" w:rsidP="00663C0E">
      <w:pPr>
        <w:spacing w:after="120"/>
        <w:jc w:val="both"/>
        <w:rPr>
          <w:rFonts w:cstheme="minorHAnsi"/>
          <w:b/>
          <w:szCs w:val="22"/>
          <w:lang w:eastAsia="sk-SK"/>
        </w:rPr>
      </w:pPr>
      <w:r w:rsidRPr="00106C6A">
        <w:rPr>
          <w:rFonts w:cs="Calibri"/>
          <w:szCs w:val="22"/>
        </w:rPr>
        <w:t xml:space="preserve">Technická univerzita v Košiciach (ďalej TUKE) sleduje a vyhodnocuje súbor ukazovateľov, ktoré sú vyhodnocované ročne a zverejňované vo </w:t>
      </w:r>
      <w:r w:rsidRPr="00106C6A">
        <w:rPr>
          <w:rFonts w:cs="Calibri"/>
          <w:b/>
          <w:szCs w:val="22"/>
        </w:rPr>
        <w:t>Výročných správach o činnosti TUKE</w:t>
      </w:r>
      <w:r w:rsidRPr="00106C6A">
        <w:rPr>
          <w:rStyle w:val="Odkaznavysvetlivku"/>
          <w:rFonts w:cs="Calibri"/>
          <w:b/>
          <w:szCs w:val="22"/>
        </w:rPr>
        <w:endnoteReference w:id="1"/>
      </w:r>
      <w:r w:rsidR="00106C6A">
        <w:rPr>
          <w:rFonts w:cs="Calibri"/>
          <w:szCs w:val="22"/>
        </w:rPr>
        <w:t xml:space="preserve">, v správe pre Vedeckú radu TUKE </w:t>
      </w:r>
      <w:r w:rsidR="00DF127A" w:rsidRPr="00106C6A">
        <w:rPr>
          <w:rFonts w:cstheme="minorHAnsi"/>
          <w:szCs w:val="22"/>
          <w:lang w:eastAsia="sk-SK"/>
        </w:rPr>
        <w:t>Hodnotenie úrovne TUKE vo vzdelávacej činnosti</w:t>
      </w:r>
      <w:r w:rsidRPr="00106C6A">
        <w:rPr>
          <w:rFonts w:cs="Calibri"/>
          <w:szCs w:val="22"/>
        </w:rPr>
        <w:t xml:space="preserve"> </w:t>
      </w:r>
      <w:r w:rsidR="00DF127A" w:rsidRPr="00106C6A">
        <w:rPr>
          <w:rFonts w:cs="Calibri"/>
          <w:szCs w:val="22"/>
        </w:rPr>
        <w:t>a</w:t>
      </w:r>
      <w:r w:rsidR="00106C6A">
        <w:rPr>
          <w:rFonts w:cs="Calibri"/>
          <w:szCs w:val="22"/>
        </w:rPr>
        <w:t xml:space="preserve"> v </w:t>
      </w:r>
      <w:r w:rsidR="00DF127A" w:rsidRPr="00106C6A">
        <w:rPr>
          <w:rFonts w:cstheme="minorHAnsi"/>
          <w:b/>
          <w:szCs w:val="22"/>
          <w:lang w:eastAsia="sk-SK"/>
        </w:rPr>
        <w:t>Správach o hodnotení výkonnosti systému manažérstva kvality na TUKE</w:t>
      </w:r>
      <w:r w:rsidR="00DF127A" w:rsidRPr="00106C6A">
        <w:rPr>
          <w:rStyle w:val="Odkaznavysvetlivku"/>
          <w:rFonts w:cstheme="minorHAnsi"/>
          <w:szCs w:val="22"/>
          <w:lang w:eastAsia="sk-SK"/>
        </w:rPr>
        <w:endnoteReference w:id="2"/>
      </w:r>
      <w:r w:rsidR="00DF127A" w:rsidRPr="00106C6A">
        <w:rPr>
          <w:rFonts w:cstheme="minorHAnsi"/>
          <w:b/>
          <w:szCs w:val="22"/>
          <w:lang w:eastAsia="sk-SK"/>
        </w:rPr>
        <w:t>.</w:t>
      </w:r>
    </w:p>
    <w:p w:rsidR="00DF127A" w:rsidRPr="00106C6A" w:rsidRDefault="00DF127A" w:rsidP="00663C0E">
      <w:pPr>
        <w:spacing w:after="120"/>
        <w:jc w:val="both"/>
        <w:rPr>
          <w:rFonts w:cs="Calibri"/>
          <w:szCs w:val="22"/>
        </w:rPr>
      </w:pPr>
      <w:r w:rsidRPr="00106C6A">
        <w:t>Jednotlivé ukazovatele sa vyhodnocujú na ročnej báze spravidla za 10 ostatných rokov a v primeranom rozsahu za celú TUKE, jej súčasti alebo za študijný program.</w:t>
      </w:r>
    </w:p>
    <w:p w:rsidR="00663C0E" w:rsidRPr="00106C6A" w:rsidRDefault="00663C0E" w:rsidP="00663C0E">
      <w:pPr>
        <w:spacing w:after="120"/>
        <w:jc w:val="both"/>
        <w:rPr>
          <w:rFonts w:cs="Calibri"/>
          <w:szCs w:val="22"/>
        </w:rPr>
      </w:pPr>
    </w:p>
    <w:p w:rsidR="00663C0E" w:rsidRPr="00106C6A" w:rsidRDefault="00663C0E" w:rsidP="00663C0E">
      <w:pPr>
        <w:spacing w:after="0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TUKE a jej súčasti sledujú a vyhodnocujú súbor indikatívnych ukazovateľov v oblasti (od roku 2022):</w:t>
      </w:r>
    </w:p>
    <w:p w:rsidR="00663C0E" w:rsidRPr="00106C6A" w:rsidRDefault="00663C0E" w:rsidP="00663C0E">
      <w:pPr>
        <w:numPr>
          <w:ilvl w:val="0"/>
          <w:numId w:val="1"/>
        </w:numPr>
        <w:spacing w:after="100" w:afterAutospacing="1"/>
        <w:ind w:left="714" w:hanging="357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 xml:space="preserve">Vzdelávania </w:t>
      </w:r>
    </w:p>
    <w:p w:rsidR="00663C0E" w:rsidRPr="00106C6A" w:rsidRDefault="00663C0E" w:rsidP="00663C0E">
      <w:pPr>
        <w:numPr>
          <w:ilvl w:val="1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Ukazovatele vstupu do vzdelávania </w:t>
      </w:r>
    </w:p>
    <w:p w:rsidR="00663C0E" w:rsidRPr="00106C6A" w:rsidRDefault="00663C0E" w:rsidP="00663C0E">
      <w:pPr>
        <w:numPr>
          <w:ilvl w:val="1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 xml:space="preserve">Ukazovatele procesu vzdelávania </w:t>
      </w:r>
    </w:p>
    <w:p w:rsidR="00663C0E" w:rsidRPr="00106C6A" w:rsidRDefault="00663C0E" w:rsidP="00663C0E">
      <w:pPr>
        <w:numPr>
          <w:ilvl w:val="2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Prijímacie konanie, priebeh a ukončenie štúdia</w:t>
      </w:r>
    </w:p>
    <w:p w:rsidR="00663C0E" w:rsidRPr="00106C6A" w:rsidRDefault="00663C0E" w:rsidP="00663C0E">
      <w:pPr>
        <w:numPr>
          <w:ilvl w:val="2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Učenie sa, vyučovanie a hodnotenie orientované na študenta</w:t>
      </w:r>
    </w:p>
    <w:p w:rsidR="00663C0E" w:rsidRPr="00106C6A" w:rsidRDefault="00663C0E" w:rsidP="00663C0E">
      <w:pPr>
        <w:numPr>
          <w:ilvl w:val="2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Učitelia</w:t>
      </w:r>
    </w:p>
    <w:p w:rsidR="00663C0E" w:rsidRPr="00106C6A" w:rsidRDefault="00663C0E" w:rsidP="00663C0E">
      <w:pPr>
        <w:numPr>
          <w:ilvl w:val="2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Tvorivá činnosť a habilitačné konanie a inauguračné konanie</w:t>
      </w:r>
    </w:p>
    <w:p w:rsidR="00663C0E" w:rsidRPr="00106C6A" w:rsidRDefault="00663C0E" w:rsidP="00663C0E">
      <w:pPr>
        <w:numPr>
          <w:ilvl w:val="1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Ukazovatele výstupu zo vzdelávania</w:t>
      </w:r>
    </w:p>
    <w:p w:rsidR="00663C0E" w:rsidRPr="00106C6A" w:rsidRDefault="00663C0E" w:rsidP="00663C0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Vedy a výskumu</w:t>
      </w:r>
    </w:p>
    <w:p w:rsidR="00663C0E" w:rsidRPr="00106C6A" w:rsidRDefault="00663C0E" w:rsidP="00663C0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Ľudských zdrojov</w:t>
      </w:r>
    </w:p>
    <w:p w:rsidR="00663C0E" w:rsidRPr="00106C6A" w:rsidRDefault="00663C0E" w:rsidP="00663C0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Riadenia</w:t>
      </w:r>
    </w:p>
    <w:p w:rsidR="00663C0E" w:rsidRPr="00106C6A" w:rsidRDefault="00663C0E" w:rsidP="00663C0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Internacionalizácie</w:t>
      </w:r>
    </w:p>
    <w:p w:rsidR="00663C0E" w:rsidRPr="00106C6A" w:rsidRDefault="00663C0E" w:rsidP="00663C0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Rozvoja infraštruktúry</w:t>
      </w:r>
    </w:p>
    <w:p w:rsidR="00663C0E" w:rsidRPr="00106C6A" w:rsidRDefault="00663C0E" w:rsidP="00663C0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Rozvoja IKT</w:t>
      </w:r>
    </w:p>
    <w:p w:rsidR="00663C0E" w:rsidRPr="00106C6A" w:rsidRDefault="00663C0E" w:rsidP="00663C0E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Spolupráce s praxou a mimo akademickou sférou</w:t>
      </w:r>
    </w:p>
    <w:p w:rsidR="00663C0E" w:rsidRPr="00106C6A" w:rsidRDefault="00663C0E" w:rsidP="00663C0E">
      <w:pPr>
        <w:spacing w:before="100" w:beforeAutospacing="1" w:after="100" w:afterAutospacing="1"/>
        <w:jc w:val="both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 xml:space="preserve">Podrobnejšie sú ukazovatele vzdelávania popísané v  organizačnej smernici OS/TUKE/H1/01 Vzdelávanie </w:t>
      </w:r>
      <w:r w:rsidR="00106C6A" w:rsidRPr="00106C6A">
        <w:rPr>
          <w:rFonts w:cstheme="minorHAnsi"/>
          <w:szCs w:val="22"/>
          <w:lang w:eastAsia="sk-SK"/>
        </w:rPr>
        <w:t xml:space="preserve">- </w:t>
      </w:r>
      <w:r w:rsidRPr="00106C6A">
        <w:rPr>
          <w:rFonts w:cstheme="minorHAnsi"/>
          <w:b/>
          <w:szCs w:val="22"/>
          <w:lang w:eastAsia="sk-SK"/>
        </w:rPr>
        <w:t>Príloha č. 30 Metodický pokyn o procesoch zabezpečenia kvality študijných programov na TUKE</w:t>
      </w:r>
      <w:r w:rsidRPr="00106C6A">
        <w:rPr>
          <w:rStyle w:val="Odkaznavysvetlivku"/>
          <w:rFonts w:cstheme="minorHAnsi"/>
          <w:szCs w:val="22"/>
          <w:lang w:eastAsia="sk-SK"/>
        </w:rPr>
        <w:endnoteReference w:id="3"/>
      </w:r>
      <w:r w:rsidRPr="00106C6A">
        <w:rPr>
          <w:rFonts w:cstheme="minorHAnsi"/>
          <w:szCs w:val="22"/>
          <w:lang w:eastAsia="sk-SK"/>
        </w:rPr>
        <w:t xml:space="preserve"> (čl. III., IV. a V.).</w:t>
      </w:r>
    </w:p>
    <w:p w:rsidR="00106C6A" w:rsidRDefault="00106C6A" w:rsidP="00106C6A">
      <w:pPr>
        <w:spacing w:after="160" w:line="259" w:lineRule="auto"/>
        <w:jc w:val="both"/>
        <w:rPr>
          <w:rFonts w:cstheme="minorHAnsi"/>
          <w:i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 xml:space="preserve">Súhrnná tabuľka sledovaných ukazovateľov je </w:t>
      </w:r>
      <w:r>
        <w:rPr>
          <w:rFonts w:cstheme="minorHAnsi"/>
          <w:szCs w:val="22"/>
          <w:lang w:eastAsia="sk-SK"/>
        </w:rPr>
        <w:t xml:space="preserve">zverejnená </w:t>
      </w:r>
      <w:r w:rsidRPr="00106C6A">
        <w:rPr>
          <w:rFonts w:cstheme="minorHAnsi"/>
          <w:szCs w:val="22"/>
          <w:lang w:eastAsia="sk-SK"/>
        </w:rPr>
        <w:t xml:space="preserve">na webovom sídle TUKE </w:t>
      </w:r>
      <w:r w:rsidRPr="00106C6A">
        <w:rPr>
          <w:rFonts w:cstheme="minorHAnsi"/>
          <w:b/>
          <w:szCs w:val="22"/>
          <w:lang w:eastAsia="sk-SK"/>
        </w:rPr>
        <w:t>Indikátory pre hodnotenie kvality za roky 2014 – 2021</w:t>
      </w:r>
      <w:r w:rsidRPr="00106C6A">
        <w:rPr>
          <w:rStyle w:val="Odkaznavysvetlivku"/>
          <w:rFonts w:cstheme="minorHAnsi"/>
          <w:szCs w:val="22"/>
          <w:lang w:eastAsia="sk-SK"/>
        </w:rPr>
        <w:endnoteReference w:id="4"/>
      </w:r>
      <w:r w:rsidRPr="00106C6A">
        <w:rPr>
          <w:rFonts w:cstheme="minorHAnsi"/>
          <w:szCs w:val="22"/>
          <w:lang w:eastAsia="sk-SK"/>
        </w:rPr>
        <w:t>.</w:t>
      </w:r>
      <w:r w:rsidRPr="00106C6A">
        <w:rPr>
          <w:rFonts w:cstheme="minorHAnsi"/>
          <w:i/>
          <w:szCs w:val="22"/>
          <w:lang w:eastAsia="sk-SK"/>
        </w:rPr>
        <w:t xml:space="preserve"> </w:t>
      </w:r>
    </w:p>
    <w:p w:rsidR="00106C6A" w:rsidRPr="00106C6A" w:rsidRDefault="00106C6A" w:rsidP="00106C6A">
      <w:pPr>
        <w:spacing w:before="100" w:beforeAutospacing="1" w:after="100" w:afterAutospacing="1"/>
        <w:jc w:val="both"/>
        <w:rPr>
          <w:rFonts w:cstheme="minorHAnsi"/>
          <w:szCs w:val="22"/>
          <w:lang w:eastAsia="sk-SK"/>
        </w:rPr>
      </w:pPr>
      <w:r w:rsidRPr="00106C6A">
        <w:rPr>
          <w:rFonts w:cstheme="minorHAnsi"/>
          <w:szCs w:val="22"/>
          <w:lang w:eastAsia="sk-SK"/>
        </w:rPr>
        <w:t>Kvôli prehľadu je v </w:t>
      </w:r>
      <w:r w:rsidRPr="00E03762">
        <w:rPr>
          <w:rFonts w:cstheme="minorHAnsi"/>
          <w:szCs w:val="22"/>
          <w:lang w:eastAsia="sk-SK"/>
        </w:rPr>
        <w:t>prílohe</w:t>
      </w:r>
      <w:r w:rsidRPr="00106C6A">
        <w:rPr>
          <w:rFonts w:cstheme="minorHAnsi"/>
          <w:szCs w:val="22"/>
          <w:lang w:eastAsia="sk-SK"/>
        </w:rPr>
        <w:t xml:space="preserve"> č. </w:t>
      </w:r>
      <w:r w:rsidR="00E03762">
        <w:rPr>
          <w:rFonts w:cstheme="minorHAnsi"/>
          <w:szCs w:val="22"/>
          <w:lang w:eastAsia="sk-SK"/>
        </w:rPr>
        <w:t>1</w:t>
      </w:r>
      <w:r w:rsidRPr="00106C6A">
        <w:rPr>
          <w:rFonts w:cstheme="minorHAnsi"/>
          <w:szCs w:val="22"/>
          <w:lang w:eastAsia="sk-SK"/>
        </w:rPr>
        <w:t xml:space="preserve"> </w:t>
      </w:r>
      <w:r w:rsidR="00E03762">
        <w:rPr>
          <w:rFonts w:cstheme="minorHAnsi"/>
          <w:szCs w:val="22"/>
          <w:lang w:eastAsia="sk-SK"/>
        </w:rPr>
        <w:t>tohto dokumentu</w:t>
      </w:r>
      <w:r w:rsidRPr="00106C6A">
        <w:rPr>
          <w:rFonts w:cstheme="minorHAnsi"/>
          <w:szCs w:val="22"/>
          <w:lang w:eastAsia="sk-SK"/>
        </w:rPr>
        <w:t xml:space="preserve"> uvedená tabuľka ukazovateľov sledovaných do roku 2021 a od roku 2022.</w:t>
      </w:r>
    </w:p>
    <w:p w:rsidR="00FE5306" w:rsidRDefault="00FE5306" w:rsidP="00106C6A">
      <w:pPr>
        <w:spacing w:after="160" w:line="259" w:lineRule="auto"/>
        <w:jc w:val="both"/>
      </w:pPr>
    </w:p>
    <w:p w:rsidR="001A16FB" w:rsidRDefault="00FE5306" w:rsidP="00106C6A">
      <w:pPr>
        <w:spacing w:after="160" w:line="259" w:lineRule="auto"/>
        <w:jc w:val="both"/>
      </w:pPr>
      <w:r>
        <w:t xml:space="preserve">Ukazovatele, ktoré TUKE začala sledovať od roku 2022 </w:t>
      </w:r>
      <w:r w:rsidR="00E03762">
        <w:t>budú prvý krát vyhodnocované koncom roka 2023</w:t>
      </w:r>
      <w:r>
        <w:t>.</w:t>
      </w:r>
    </w:p>
    <w:p w:rsidR="001B1F0C" w:rsidRDefault="001B1F0C"/>
    <w:sectPr w:rsidR="001B1F0C" w:rsidSect="001A16FB">
      <w:headerReference w:type="default" r:id="rId8"/>
      <w:endnotePr>
        <w:numFmt w:val="decimal"/>
      </w:end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B9" w:rsidRDefault="00AF11B9" w:rsidP="00663C0E">
      <w:pPr>
        <w:spacing w:after="0"/>
      </w:pPr>
      <w:r>
        <w:separator/>
      </w:r>
    </w:p>
  </w:endnote>
  <w:endnote w:type="continuationSeparator" w:id="0">
    <w:p w:rsidR="00AF11B9" w:rsidRDefault="00AF11B9" w:rsidP="00663C0E">
      <w:pPr>
        <w:spacing w:after="0"/>
      </w:pPr>
      <w:r>
        <w:continuationSeparator/>
      </w:r>
    </w:p>
  </w:endnote>
  <w:endnote w:id="1">
    <w:p w:rsidR="00663C0E" w:rsidRDefault="00663C0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663C0E">
        <w:t>Výročn</w:t>
      </w:r>
      <w:r>
        <w:t>é</w:t>
      </w:r>
      <w:r w:rsidRPr="00663C0E">
        <w:t xml:space="preserve"> správ</w:t>
      </w:r>
      <w:r>
        <w:t>y</w:t>
      </w:r>
      <w:r w:rsidRPr="00663C0E">
        <w:t xml:space="preserve"> o činnosti TUKE</w:t>
      </w:r>
      <w:r>
        <w:t>:</w:t>
      </w:r>
      <w:r w:rsidRPr="00663C0E">
        <w:t xml:space="preserve"> </w:t>
      </w:r>
      <w:hyperlink r:id="rId1" w:history="1">
        <w:r w:rsidRPr="004E1DCA">
          <w:rPr>
            <w:rStyle w:val="Hypertextovprepojenie"/>
          </w:rPr>
          <w:t>https://www.tuke.sk/wps/portal/tuke/university/vyrocne-spravy-a-dokumenty</w:t>
        </w:r>
      </w:hyperlink>
      <w:r>
        <w:t xml:space="preserve"> </w:t>
      </w:r>
    </w:p>
  </w:endnote>
  <w:endnote w:id="2">
    <w:p w:rsidR="00DF127A" w:rsidRDefault="00DF127A" w:rsidP="00DF127A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F7455">
        <w:t>Správy o hodnotení výkonnosti systému manažérstva kvality na TUKE</w:t>
      </w:r>
      <w:r>
        <w:t>:</w:t>
      </w:r>
      <w:r w:rsidRPr="004F7455">
        <w:t xml:space="preserve"> </w:t>
      </w:r>
      <w:hyperlink r:id="rId2" w:history="1">
        <w:r w:rsidRPr="00F048F5">
          <w:rPr>
            <w:rStyle w:val="Hypertextovprepojenie"/>
          </w:rPr>
          <w:t>https://legislativa.tuke.sk/legislativa/sekcia-pre-zamestnancov/sprava_o_hodnoteni_vykonnosti_smk.pdf/view</w:t>
        </w:r>
      </w:hyperlink>
      <w:r>
        <w:t xml:space="preserve"> </w:t>
      </w:r>
    </w:p>
  </w:endnote>
  <w:endnote w:id="3">
    <w:p w:rsidR="00663C0E" w:rsidRDefault="00663C0E" w:rsidP="00663C0E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460A41">
        <w:t>Príloha č. 30 Metodický pokyn o procesoch zabezpečenia kvality študijných programov na TUKE</w:t>
      </w:r>
      <w:r>
        <w:t xml:space="preserve">: </w:t>
      </w:r>
      <w:hyperlink r:id="rId3" w:history="1">
        <w:r w:rsidRPr="00010B81">
          <w:rPr>
            <w:rStyle w:val="Hypertextovprepojenie"/>
          </w:rPr>
          <w:t>https://legislativa.tuke.sk/legislativa/sekcia-pre-zamestnancov/organizacne-smernice/hlavne-procesy/h1-vzdelavanie/prilohy-a-formulare/os_tuke_h1_01_metodicke_pokyny_v3.zip/view</w:t>
        </w:r>
      </w:hyperlink>
      <w:r>
        <w:t xml:space="preserve"> </w:t>
      </w:r>
    </w:p>
  </w:endnote>
  <w:endnote w:id="4">
    <w:p w:rsidR="00106C6A" w:rsidRDefault="00106C6A" w:rsidP="00106C6A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051964">
        <w:t>Indikátory pre hodnotenie kvality za roky 2014 – 2021</w:t>
      </w:r>
      <w:r>
        <w:t xml:space="preserve">: </w:t>
      </w:r>
      <w:hyperlink r:id="rId4" w:history="1">
        <w:r w:rsidRPr="00010B81">
          <w:rPr>
            <w:rStyle w:val="Hypertextovprepojenie"/>
          </w:rPr>
          <w:t>https://www.tuke.sk/wps/portal/tuke/university/vnutorny-system-kvality/indikatory-kvality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B9" w:rsidRDefault="00AF11B9" w:rsidP="00663C0E">
      <w:pPr>
        <w:spacing w:after="0"/>
      </w:pPr>
      <w:r>
        <w:separator/>
      </w:r>
    </w:p>
  </w:footnote>
  <w:footnote w:type="continuationSeparator" w:id="0">
    <w:p w:rsidR="00AF11B9" w:rsidRDefault="00AF11B9" w:rsidP="00663C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6A" w:rsidRPr="00106C6A" w:rsidRDefault="00106C6A" w:rsidP="00106C6A">
    <w:pPr>
      <w:pStyle w:val="Hlavika"/>
      <w:jc w:val="right"/>
      <w:rPr>
        <w:b/>
      </w:rPr>
    </w:pPr>
    <w:r w:rsidRPr="00106C6A">
      <w:rPr>
        <w:b/>
      </w:rPr>
      <w:t>Príloha 3 Žiadosti o posúdenie VSZK TUKE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BAF"/>
    <w:multiLevelType w:val="multilevel"/>
    <w:tmpl w:val="96745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0E"/>
    <w:rsid w:val="00106C6A"/>
    <w:rsid w:val="001A16FB"/>
    <w:rsid w:val="001B1F0C"/>
    <w:rsid w:val="002C20FA"/>
    <w:rsid w:val="00471956"/>
    <w:rsid w:val="00663C0E"/>
    <w:rsid w:val="00AB0FB2"/>
    <w:rsid w:val="00AF11B9"/>
    <w:rsid w:val="00DF127A"/>
    <w:rsid w:val="00E03762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D241"/>
  <w15:chartTrackingRefBased/>
  <w15:docId w15:val="{25F6F520-CD83-445C-84BC-8CAF255B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C0E"/>
    <w:pPr>
      <w:spacing w:after="60" w:line="240" w:lineRule="auto"/>
    </w:pPr>
    <w:rPr>
      <w:rFonts w:eastAsia="Times New Roman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63C0E"/>
    <w:rPr>
      <w:color w:val="0000FF"/>
      <w:u w:val="single"/>
    </w:rPr>
  </w:style>
  <w:style w:type="paragraph" w:styleId="Textvysvetlivky">
    <w:name w:val="endnote text"/>
    <w:basedOn w:val="Normlny"/>
    <w:link w:val="TextvysvetlivkyChar"/>
    <w:uiPriority w:val="99"/>
    <w:unhideWhenUsed/>
    <w:rsid w:val="00663C0E"/>
    <w:pPr>
      <w:spacing w:after="0"/>
    </w:pPr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663C0E"/>
    <w:rPr>
      <w:rFonts w:eastAsia="Times New Roman" w:cs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663C0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06C6A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106C6A"/>
    <w:rPr>
      <w:rFonts w:eastAsia="Times New Roman" w:cs="Times New Roman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06C6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06C6A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gislativa.tuke.sk/legislativa/sekcia-pre-zamestnancov/organizacne-smernice/hlavne-procesy/h1-vzdelavanie/prilohy-a-formulare/os_tuke_h1_01_metodicke_pokyny_v3.zip/view" TargetMode="External"/><Relationship Id="rId2" Type="http://schemas.openxmlformats.org/officeDocument/2006/relationships/hyperlink" Target="https://legislativa.tuke.sk/legislativa/sekcia-pre-zamestnancov/sprava_o_hodnoteni_vykonnosti_smk.pdf/view" TargetMode="External"/><Relationship Id="rId1" Type="http://schemas.openxmlformats.org/officeDocument/2006/relationships/hyperlink" Target="https://www.tuke.sk/wps/portal/tuke/university/vyrocne-spravy-a-dokumenty" TargetMode="External"/><Relationship Id="rId4" Type="http://schemas.openxmlformats.org/officeDocument/2006/relationships/hyperlink" Target="https://www.tuke.sk/wps/portal/tuke/university/vnutorny-system-kvality/indikatory-kvality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0103-2179-478B-B35D-1B266C94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Tomasova</dc:creator>
  <cp:keywords/>
  <dc:description/>
  <cp:lastModifiedBy>Tomasova</cp:lastModifiedBy>
  <cp:revision>3</cp:revision>
  <dcterms:created xsi:type="dcterms:W3CDTF">2022-12-14T14:13:00Z</dcterms:created>
  <dcterms:modified xsi:type="dcterms:W3CDTF">2022-12-15T12:30:00Z</dcterms:modified>
</cp:coreProperties>
</file>